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C4C83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6E00" w:rsidRPr="006A6DB8">
        <w:rPr>
          <w:rFonts w:ascii="Verdana" w:hAnsi="Verdana"/>
          <w:b/>
          <w:bCs/>
          <w:sz w:val="18"/>
          <w:szCs w:val="18"/>
        </w:rPr>
        <w:t>„Čištění kanalizace a jímek v obvodu OŘ PHA 2025 – 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5BC0C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6E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0786638">
    <w:abstractNumId w:val="5"/>
  </w:num>
  <w:num w:numId="2" w16cid:durableId="423190051">
    <w:abstractNumId w:val="1"/>
  </w:num>
  <w:num w:numId="3" w16cid:durableId="1594361796">
    <w:abstractNumId w:val="2"/>
  </w:num>
  <w:num w:numId="4" w16cid:durableId="864096407">
    <w:abstractNumId w:val="4"/>
  </w:num>
  <w:num w:numId="5" w16cid:durableId="815144048">
    <w:abstractNumId w:val="0"/>
  </w:num>
  <w:num w:numId="6" w16cid:durableId="1174762879">
    <w:abstractNumId w:val="6"/>
  </w:num>
  <w:num w:numId="7" w16cid:durableId="1320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2710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3AA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6E00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D3AAA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2025-06-09T06:49:00Z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